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Default="00B46D11" w:rsidP="006A015B">
      <w:pPr>
        <w:shd w:val="clear" w:color="auto" w:fill="FFFFFF"/>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rsidR="00B46D11" w:rsidRDefault="00B46D11" w:rsidP="006A015B">
      <w:pPr>
        <w:shd w:val="clear" w:color="auto" w:fill="FFFFFF"/>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w:t>
      </w:r>
    </w:p>
    <w:p w:rsidR="00B46D11" w:rsidRPr="006A015B" w:rsidRDefault="00B46D11" w:rsidP="006A015B">
      <w:pPr>
        <w:shd w:val="clear" w:color="auto" w:fill="FFFFFF"/>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r w:rsidRPr="006A015B">
        <w:rPr>
          <w:rFonts w:ascii="Times New Roman" w:eastAsia="Times New Roman" w:hAnsi="Times New Roman" w:cs="Times New Roman"/>
          <w:color w:val="000000"/>
          <w:sz w:val="24"/>
          <w:szCs w:val="24"/>
        </w:rPr>
        <w:t>The Way We Live Book Summary</w:t>
      </w: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B46D11" w:rsidRPr="006A015B" w:rsidRDefault="00B46D11" w:rsidP="006A015B">
      <w:pPr>
        <w:shd w:val="clear" w:color="auto" w:fill="FFFFFF"/>
        <w:spacing w:after="0" w:line="480" w:lineRule="auto"/>
        <w:jc w:val="center"/>
        <w:rPr>
          <w:rFonts w:ascii="Times New Roman" w:eastAsia="Times New Roman" w:hAnsi="Times New Roman" w:cs="Times New Roman"/>
          <w:color w:val="000000"/>
          <w:sz w:val="24"/>
          <w:szCs w:val="24"/>
        </w:rPr>
      </w:pPr>
      <w:bookmarkStart w:id="0" w:name="_GoBack"/>
      <w:bookmarkEnd w:id="0"/>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p>
    <w:p w:rsidR="006A015B" w:rsidRPr="006A015B" w:rsidRDefault="006A015B" w:rsidP="006A015B">
      <w:pPr>
        <w:spacing w:line="480" w:lineRule="auto"/>
        <w:rPr>
          <w:rFonts w:ascii="Times New Roman" w:hAnsi="Times New Roman" w:cs="Times New Roman"/>
          <w:b/>
          <w:sz w:val="24"/>
          <w:szCs w:val="24"/>
        </w:rPr>
      </w:pPr>
      <w:r w:rsidRPr="006A015B">
        <w:rPr>
          <w:rFonts w:ascii="Times New Roman" w:hAnsi="Times New Roman" w:cs="Times New Roman"/>
          <w:b/>
          <w:sz w:val="24"/>
          <w:szCs w:val="24"/>
        </w:rPr>
        <w:lastRenderedPageBreak/>
        <w:t xml:space="preserve">Chapter </w:t>
      </w:r>
      <w:r w:rsidR="00137417">
        <w:rPr>
          <w:rFonts w:ascii="Times New Roman" w:hAnsi="Times New Roman" w:cs="Times New Roman"/>
          <w:b/>
          <w:sz w:val="24"/>
          <w:szCs w:val="24"/>
        </w:rPr>
        <w:t>1</w:t>
      </w:r>
      <w:r w:rsidRPr="006A015B">
        <w:rPr>
          <w:rFonts w:ascii="Times New Roman" w:hAnsi="Times New Roman" w:cs="Times New Roman"/>
          <w:b/>
          <w:sz w:val="24"/>
          <w:szCs w:val="24"/>
        </w:rPr>
        <w:t>: Reconstruction: Triumphs and Tragedies</w:t>
      </w:r>
    </w:p>
    <w:p w:rsidR="006A015B" w:rsidRPr="006A015B" w:rsidRDefault="006A015B" w:rsidP="006A015B">
      <w:pPr>
        <w:spacing w:line="480" w:lineRule="auto"/>
        <w:rPr>
          <w:rFonts w:ascii="Times New Roman" w:hAnsi="Times New Roman" w:cs="Times New Roman"/>
          <w:b/>
          <w:sz w:val="24"/>
          <w:szCs w:val="24"/>
        </w:rPr>
      </w:pPr>
      <w:r w:rsidRPr="006A015B">
        <w:rPr>
          <w:rFonts w:ascii="Times New Roman" w:hAnsi="Times New Roman" w:cs="Times New Roman"/>
          <w:b/>
          <w:sz w:val="24"/>
          <w:szCs w:val="24"/>
        </w:rPr>
        <w:t>Mark Andrew Huddle, “To Educate a Race”</w:t>
      </w:r>
    </w:p>
    <w:p w:rsidR="006A015B" w:rsidRPr="006A015B" w:rsidRDefault="006A015B" w:rsidP="006A015B">
      <w:pPr>
        <w:spacing w:line="480" w:lineRule="auto"/>
        <w:ind w:firstLine="720"/>
        <w:rPr>
          <w:rFonts w:ascii="Times New Roman" w:hAnsi="Times New Roman" w:cs="Times New Roman"/>
          <w:sz w:val="24"/>
          <w:szCs w:val="24"/>
        </w:rPr>
      </w:pPr>
      <w:r w:rsidRPr="006A015B">
        <w:rPr>
          <w:rFonts w:ascii="Times New Roman" w:hAnsi="Times New Roman" w:cs="Times New Roman"/>
          <w:sz w:val="24"/>
          <w:szCs w:val="24"/>
        </w:rPr>
        <w:t>The Essay by Mark Andrew Huddle on “To Educate a Race” is a story about the introduction of African American schools and their successes in Fayetteville, North Carolina. The author highlights some of the efforts by the whites from the South and North in committing themselves to the course. For instance, General Sherman led his troop in stripping the black homes thus making it clear that the African Americans were responsible for their own uplift. The Southerners passed the Black Code that suppressed the blacks by establishing the white supremacy. Secret societies were set up to harass the African Americans. The governor during that time wanted to establish elementary and secondary schools and other teacher training centers. The black code was a reflection of the southerners’ efforts to establish white supremacy.</w:t>
      </w:r>
    </w:p>
    <w:p w:rsidR="006A015B" w:rsidRPr="006A015B" w:rsidRDefault="006A015B" w:rsidP="006A015B">
      <w:pPr>
        <w:shd w:val="clear" w:color="auto" w:fill="FFFFFF"/>
        <w:spacing w:after="0" w:line="480" w:lineRule="auto"/>
        <w:ind w:firstLine="720"/>
        <w:rPr>
          <w:rFonts w:ascii="Times New Roman" w:eastAsia="Times New Roman" w:hAnsi="Times New Roman" w:cs="Times New Roman"/>
          <w:color w:val="000000"/>
          <w:sz w:val="24"/>
          <w:szCs w:val="24"/>
        </w:rPr>
      </w:pPr>
      <w:r w:rsidRPr="006A015B">
        <w:rPr>
          <w:rFonts w:ascii="Times New Roman" w:hAnsi="Times New Roman" w:cs="Times New Roman"/>
          <w:sz w:val="24"/>
          <w:szCs w:val="24"/>
        </w:rPr>
        <w:t>Through the legislation the state was able to establish an all-white teacher training center. The governor at that time, Governor Vance wished to establish a colored school owned by the state. It would be located at Fayetteville, North Carolina. “… Governor Vance called on the representatives to fund not just a summer session, but a ‘long term school’ in which prospective black teachers might be instructed in appropriate education practices and philosophies as well as the subjects that they would teach.” (</w:t>
      </w:r>
      <w:r w:rsidRPr="006A015B">
        <w:rPr>
          <w:rFonts w:ascii="Times New Roman" w:eastAsia="Times New Roman" w:hAnsi="Times New Roman" w:cs="Times New Roman"/>
          <w:color w:val="000000"/>
          <w:sz w:val="24"/>
          <w:szCs w:val="24"/>
        </w:rPr>
        <w:t>Binder, </w:t>
      </w:r>
      <w:r w:rsidRPr="006A015B">
        <w:rPr>
          <w:rFonts w:ascii="Times New Roman" w:hAnsi="Times New Roman" w:cs="Times New Roman"/>
          <w:sz w:val="24"/>
          <w:szCs w:val="24"/>
        </w:rPr>
        <w:t xml:space="preserve">pg. 5) During that time, the blacks were prohibited from worshiping or carrying walking sticks in the city. The missionaries in the area acted as the focus point for the African Americans. Through their works, the black feel a sense of belonging. They set up churches, schools and congregations that would campaign for the rights of the blacks. Moreover, they helped in raising funds that would be used to train the teachers and the students who were enrolled in the education system. This was an indication of the unity that </w:t>
      </w:r>
      <w:r w:rsidRPr="006A015B">
        <w:rPr>
          <w:rFonts w:ascii="Times New Roman" w:hAnsi="Times New Roman" w:cs="Times New Roman"/>
          <w:sz w:val="24"/>
          <w:szCs w:val="24"/>
        </w:rPr>
        <w:lastRenderedPageBreak/>
        <w:t>existed within the members of the black community. Through the exemplified efforts of the community, the blacks were able to fight for themselves despite the numerous challenges faced.</w:t>
      </w:r>
    </w:p>
    <w:p w:rsidR="006A015B" w:rsidRPr="006A015B" w:rsidRDefault="006A015B" w:rsidP="006A015B">
      <w:pPr>
        <w:spacing w:line="480" w:lineRule="auto"/>
        <w:rPr>
          <w:rFonts w:ascii="Times New Roman" w:hAnsi="Times New Roman" w:cs="Times New Roman"/>
          <w:b/>
          <w:sz w:val="24"/>
          <w:szCs w:val="24"/>
        </w:rPr>
      </w:pPr>
      <w:r w:rsidRPr="006A015B">
        <w:rPr>
          <w:rFonts w:ascii="Times New Roman" w:hAnsi="Times New Roman" w:cs="Times New Roman"/>
          <w:b/>
          <w:sz w:val="24"/>
          <w:szCs w:val="24"/>
        </w:rPr>
        <w:t>Chapter 2: The Last Frontier</w:t>
      </w:r>
    </w:p>
    <w:p w:rsidR="006A015B" w:rsidRPr="006A015B" w:rsidRDefault="006A015B" w:rsidP="006A015B">
      <w:pPr>
        <w:spacing w:line="480" w:lineRule="auto"/>
        <w:rPr>
          <w:rFonts w:ascii="Times New Roman" w:hAnsi="Times New Roman" w:cs="Times New Roman"/>
          <w:b/>
          <w:sz w:val="24"/>
          <w:szCs w:val="24"/>
        </w:rPr>
      </w:pPr>
      <w:r w:rsidRPr="006A015B">
        <w:rPr>
          <w:rFonts w:ascii="Times New Roman" w:hAnsi="Times New Roman" w:cs="Times New Roman"/>
          <w:b/>
          <w:sz w:val="24"/>
          <w:szCs w:val="24"/>
        </w:rPr>
        <w:t>Jack Chen, “Linking a Continent and a Nation.”</w:t>
      </w:r>
    </w:p>
    <w:p w:rsidR="006A015B" w:rsidRPr="006A015B" w:rsidRDefault="006A015B" w:rsidP="006A015B">
      <w:pPr>
        <w:spacing w:line="480" w:lineRule="auto"/>
        <w:ind w:firstLine="720"/>
        <w:rPr>
          <w:rFonts w:ascii="Times New Roman" w:hAnsi="Times New Roman" w:cs="Times New Roman"/>
          <w:sz w:val="24"/>
          <w:szCs w:val="24"/>
        </w:rPr>
      </w:pPr>
      <w:r w:rsidRPr="006A015B">
        <w:rPr>
          <w:rFonts w:ascii="Times New Roman" w:hAnsi="Times New Roman" w:cs="Times New Roman"/>
          <w:sz w:val="24"/>
          <w:szCs w:val="24"/>
        </w:rPr>
        <w:t>In his essay “Linking a Continent and a Nation, Jack Chen focuses on some of the reasons why the transcontinental railroad was build, why the government subsidized the construction, the challenges faced, whether the goals were achieved and if the Chinese robbed the Americans their jobs. With a long history of immigrants, the American company in charge of the construction hired Chinese workers to build the railroad. Using their skills, the Chinese were able to cave a path that would move across the American continent. Some of the Americans abandoned the project due to other vested interest thus slowing the entire process. The Chinese were treated as lesser being despite helping the Americans in the job that they never wanted. The managerial and supervisor positions were held by the Americans. It was however hard to find worker in California for other tasks since majority of the Americans had other interests. Through this chances, the Chinese workers build the railroad despite the numerous discrimination. In fact some of the white people referred to the Chinese as unreliable and unstable beings. As immigrants the Chinese were able to use their skills to complete the project. For example, they use explosives to make a way through the granites of the Sierra Nevada (</w:t>
      </w:r>
      <w:r w:rsidRPr="006A015B">
        <w:rPr>
          <w:rFonts w:ascii="Times New Roman" w:eastAsia="Times New Roman" w:hAnsi="Times New Roman" w:cs="Times New Roman"/>
          <w:color w:val="000000"/>
          <w:sz w:val="24"/>
          <w:szCs w:val="24"/>
        </w:rPr>
        <w:t xml:space="preserve">Binder, </w:t>
      </w:r>
      <w:r w:rsidRPr="006A015B">
        <w:rPr>
          <w:rFonts w:ascii="Times New Roman" w:hAnsi="Times New Roman" w:cs="Times New Roman"/>
          <w:sz w:val="24"/>
          <w:szCs w:val="24"/>
        </w:rPr>
        <w:t>pg. 24).</w:t>
      </w:r>
    </w:p>
    <w:p w:rsidR="006A015B" w:rsidRPr="006A015B" w:rsidRDefault="006A015B" w:rsidP="006A015B">
      <w:pPr>
        <w:spacing w:line="480" w:lineRule="auto"/>
        <w:ind w:firstLine="720"/>
        <w:rPr>
          <w:rFonts w:ascii="Times New Roman" w:hAnsi="Times New Roman" w:cs="Times New Roman"/>
          <w:sz w:val="24"/>
          <w:szCs w:val="24"/>
        </w:rPr>
      </w:pPr>
      <w:r w:rsidRPr="006A015B">
        <w:rPr>
          <w:rFonts w:ascii="Times New Roman" w:hAnsi="Times New Roman" w:cs="Times New Roman"/>
          <w:sz w:val="24"/>
          <w:szCs w:val="24"/>
        </w:rPr>
        <w:t xml:space="preserve">The primary objective of the essay was to show how the Americans were not ready to build a railroad that would help them with the challenges faced in the transport sector.  The Americans worked differently from the Chinese norm thus being the reason behind the success in the construction. One of the key facilitators of the project is stated saying that he cannot “boss Chinese”. This was an indication of the lack of faith that the Americans hard towards the </w:t>
      </w:r>
      <w:r w:rsidRPr="006A015B">
        <w:rPr>
          <w:rFonts w:ascii="Times New Roman" w:hAnsi="Times New Roman" w:cs="Times New Roman"/>
          <w:sz w:val="24"/>
          <w:szCs w:val="24"/>
        </w:rPr>
        <w:lastRenderedPageBreak/>
        <w:t xml:space="preserve">Chinese workers. The author compares the success of the Chinese against the failures of the Americans while constructing the road. He uses primary sources to support his claims such as the </w:t>
      </w:r>
      <w:r w:rsidRPr="006A015B">
        <w:rPr>
          <w:rFonts w:ascii="Times New Roman" w:hAnsi="Times New Roman" w:cs="Times New Roman"/>
          <w:i/>
          <w:sz w:val="24"/>
          <w:szCs w:val="24"/>
        </w:rPr>
        <w:t xml:space="preserve">Big Four </w:t>
      </w:r>
      <w:r w:rsidRPr="006A015B">
        <w:rPr>
          <w:rFonts w:ascii="Times New Roman" w:hAnsi="Times New Roman" w:cs="Times New Roman"/>
          <w:sz w:val="24"/>
          <w:szCs w:val="24"/>
        </w:rPr>
        <w:t xml:space="preserve">and </w:t>
      </w:r>
      <w:r w:rsidRPr="006A015B">
        <w:rPr>
          <w:rFonts w:ascii="Times New Roman" w:hAnsi="Times New Roman" w:cs="Times New Roman"/>
          <w:i/>
          <w:sz w:val="24"/>
          <w:szCs w:val="24"/>
        </w:rPr>
        <w:t>Alta California</w:t>
      </w:r>
      <w:r w:rsidRPr="006A015B">
        <w:rPr>
          <w:rFonts w:ascii="Times New Roman" w:hAnsi="Times New Roman" w:cs="Times New Roman"/>
          <w:sz w:val="24"/>
          <w:szCs w:val="24"/>
        </w:rPr>
        <w:t>.</w:t>
      </w:r>
      <w:r w:rsidRPr="006A015B">
        <w:rPr>
          <w:rFonts w:ascii="Times New Roman" w:hAnsi="Times New Roman" w:cs="Times New Roman"/>
          <w:i/>
          <w:sz w:val="24"/>
          <w:szCs w:val="24"/>
        </w:rPr>
        <w:t xml:space="preserve">  </w:t>
      </w:r>
      <w:r w:rsidRPr="006A015B">
        <w:rPr>
          <w:rFonts w:ascii="Times New Roman" w:hAnsi="Times New Roman" w:cs="Times New Roman"/>
          <w:sz w:val="24"/>
          <w:szCs w:val="24"/>
        </w:rPr>
        <w:t>Moreover, he has used various comparisons between the American and Chinese lifestyle (</w:t>
      </w:r>
      <w:r w:rsidRPr="006A015B">
        <w:rPr>
          <w:rFonts w:ascii="Times New Roman" w:eastAsia="Times New Roman" w:hAnsi="Times New Roman" w:cs="Times New Roman"/>
          <w:color w:val="000000"/>
          <w:sz w:val="24"/>
          <w:szCs w:val="24"/>
        </w:rPr>
        <w:t xml:space="preserve">Binder, </w:t>
      </w:r>
      <w:r w:rsidRPr="006A015B">
        <w:rPr>
          <w:rFonts w:ascii="Times New Roman" w:hAnsi="Times New Roman" w:cs="Times New Roman"/>
          <w:sz w:val="24"/>
          <w:szCs w:val="24"/>
        </w:rPr>
        <w:t>pg. 34).</w:t>
      </w:r>
    </w:p>
    <w:p w:rsidR="006A015B" w:rsidRPr="006A015B" w:rsidRDefault="006A015B" w:rsidP="006A015B">
      <w:pPr>
        <w:spacing w:line="480" w:lineRule="auto"/>
        <w:rPr>
          <w:rFonts w:ascii="Times New Roman" w:hAnsi="Times New Roman" w:cs="Times New Roman"/>
          <w:b/>
          <w:sz w:val="24"/>
          <w:szCs w:val="24"/>
        </w:rPr>
      </w:pPr>
      <w:r w:rsidRPr="006A015B">
        <w:rPr>
          <w:rFonts w:ascii="Times New Roman" w:hAnsi="Times New Roman" w:cs="Times New Roman"/>
          <w:b/>
          <w:sz w:val="24"/>
          <w:szCs w:val="24"/>
        </w:rPr>
        <w:t>Chapter 3: “Indian Schools: ‘Americanizing’ the Native Americans”</w:t>
      </w:r>
    </w:p>
    <w:p w:rsidR="006A015B" w:rsidRPr="006A015B" w:rsidRDefault="006A015B" w:rsidP="006A015B">
      <w:pPr>
        <w:spacing w:line="480" w:lineRule="auto"/>
        <w:rPr>
          <w:rFonts w:ascii="Times New Roman" w:hAnsi="Times New Roman" w:cs="Times New Roman"/>
          <w:b/>
          <w:sz w:val="24"/>
          <w:szCs w:val="24"/>
        </w:rPr>
      </w:pPr>
      <w:r w:rsidRPr="006A015B">
        <w:rPr>
          <w:rFonts w:ascii="Times New Roman" w:hAnsi="Times New Roman" w:cs="Times New Roman"/>
          <w:b/>
          <w:sz w:val="24"/>
          <w:szCs w:val="24"/>
        </w:rPr>
        <w:t>Robert A. Trennert, “Educating Indian Girls at Nonreservation Boarding Schools, 1878-1920.”</w:t>
      </w:r>
    </w:p>
    <w:p w:rsidR="006A015B" w:rsidRPr="006A015B" w:rsidRDefault="006A015B" w:rsidP="006A015B">
      <w:pPr>
        <w:spacing w:line="480" w:lineRule="auto"/>
        <w:ind w:firstLine="720"/>
        <w:rPr>
          <w:rFonts w:ascii="Times New Roman" w:hAnsi="Times New Roman" w:cs="Times New Roman"/>
          <w:sz w:val="24"/>
          <w:szCs w:val="24"/>
        </w:rPr>
      </w:pPr>
      <w:r w:rsidRPr="006A015B">
        <w:rPr>
          <w:rFonts w:ascii="Times New Roman" w:hAnsi="Times New Roman" w:cs="Times New Roman"/>
          <w:sz w:val="24"/>
          <w:szCs w:val="24"/>
        </w:rPr>
        <w:t>In the last part of the 19</w:t>
      </w:r>
      <w:r w:rsidRPr="006A015B">
        <w:rPr>
          <w:rFonts w:ascii="Times New Roman" w:hAnsi="Times New Roman" w:cs="Times New Roman"/>
          <w:sz w:val="24"/>
          <w:szCs w:val="24"/>
          <w:vertAlign w:val="superscript"/>
        </w:rPr>
        <w:t>th</w:t>
      </w:r>
      <w:r w:rsidRPr="006A015B">
        <w:rPr>
          <w:rFonts w:ascii="Times New Roman" w:hAnsi="Times New Roman" w:cs="Times New Roman"/>
          <w:sz w:val="24"/>
          <w:szCs w:val="24"/>
        </w:rPr>
        <w:t xml:space="preserve"> Century there was numerous efforts to assimilate the Indians into the American education sector. One of the most critical changes that would be made is including the Indian girls into the education. The primary objective of the government was to incorporate the Native Americans into the Anglo-American society. The young Indian girls were removed from the tribal homes and absorbed into the government schools. The drive to educate the girls gained momentum in the 18</w:t>
      </w:r>
      <w:r w:rsidRPr="006A015B">
        <w:rPr>
          <w:rFonts w:ascii="Times New Roman" w:hAnsi="Times New Roman" w:cs="Times New Roman"/>
          <w:sz w:val="24"/>
          <w:szCs w:val="24"/>
          <w:vertAlign w:val="superscript"/>
        </w:rPr>
        <w:t>th</w:t>
      </w:r>
      <w:r w:rsidRPr="006A015B">
        <w:rPr>
          <w:rFonts w:ascii="Times New Roman" w:hAnsi="Times New Roman" w:cs="Times New Roman"/>
          <w:sz w:val="24"/>
          <w:szCs w:val="24"/>
        </w:rPr>
        <w:t xml:space="preserve"> century when the missionaries recommended the advantages of taking the Indian girls to school. The editors of the essays possess two questions concerning the impact of the program in changing the culture of the natives into the foreigners. As it is stated in book, “A basic premise of this educational effort rested on the necessary elimination of Indian Culture.” (</w:t>
      </w:r>
      <w:r w:rsidRPr="006A015B">
        <w:rPr>
          <w:rFonts w:ascii="Times New Roman" w:eastAsia="Times New Roman" w:hAnsi="Times New Roman" w:cs="Times New Roman"/>
          <w:color w:val="000000"/>
          <w:sz w:val="24"/>
          <w:szCs w:val="24"/>
        </w:rPr>
        <w:t xml:space="preserve">Binder, </w:t>
      </w:r>
      <w:r w:rsidRPr="006A015B">
        <w:rPr>
          <w:rFonts w:ascii="Times New Roman" w:hAnsi="Times New Roman" w:cs="Times New Roman"/>
          <w:sz w:val="24"/>
          <w:szCs w:val="24"/>
        </w:rPr>
        <w:t>pg. 40).The government hoped that when the girls were educated and became good house wives they would help their male counterpart by assimilation. The main objective of moving the schools from the reservations was to open the Native American to the white culture and slowing leave their behind.</w:t>
      </w:r>
    </w:p>
    <w:p w:rsidR="006A015B" w:rsidRPr="006A015B" w:rsidRDefault="006A015B" w:rsidP="006A015B">
      <w:pPr>
        <w:spacing w:line="480" w:lineRule="auto"/>
        <w:rPr>
          <w:rFonts w:ascii="Times New Roman" w:hAnsi="Times New Roman" w:cs="Times New Roman"/>
          <w:sz w:val="24"/>
          <w:szCs w:val="24"/>
        </w:rPr>
      </w:pPr>
      <w:r w:rsidRPr="006A015B">
        <w:rPr>
          <w:rFonts w:ascii="Times New Roman" w:hAnsi="Times New Roman" w:cs="Times New Roman"/>
          <w:sz w:val="24"/>
          <w:szCs w:val="24"/>
        </w:rPr>
        <w:tab/>
        <w:t>The move to educate the girl child was a new trend in the 19</w:t>
      </w:r>
      <w:r w:rsidRPr="006A015B">
        <w:rPr>
          <w:rFonts w:ascii="Times New Roman" w:hAnsi="Times New Roman" w:cs="Times New Roman"/>
          <w:sz w:val="24"/>
          <w:szCs w:val="24"/>
          <w:vertAlign w:val="superscript"/>
        </w:rPr>
        <w:t>th</w:t>
      </w:r>
      <w:r w:rsidRPr="006A015B">
        <w:rPr>
          <w:rFonts w:ascii="Times New Roman" w:hAnsi="Times New Roman" w:cs="Times New Roman"/>
          <w:sz w:val="24"/>
          <w:szCs w:val="24"/>
        </w:rPr>
        <w:t xml:space="preserve"> century. This was as a result of the changes in the industrial sector where the demand of the workers was on the rise. </w:t>
      </w:r>
      <w:r w:rsidRPr="006A015B">
        <w:rPr>
          <w:rFonts w:ascii="Times New Roman" w:hAnsi="Times New Roman" w:cs="Times New Roman"/>
          <w:sz w:val="24"/>
          <w:szCs w:val="24"/>
        </w:rPr>
        <w:lastRenderedPageBreak/>
        <w:t>New disciplines were included into the curriculum to incorporate the role of a women in the society. Despite the numerous efforts by the government the Indian commissioner Ezra was opposed to the idea since he believed that it would erode their culture.  The missionaries played a crucial role in the educating the youth in an attempt to reduce the level of administrative racism.  Other strategies used for effective implementation is association. “Another integral part of the program centered on the idea of placing girls among white families to learn by association.” (</w:t>
      </w:r>
      <w:r w:rsidRPr="006A015B">
        <w:rPr>
          <w:rFonts w:ascii="Times New Roman" w:eastAsia="Times New Roman" w:hAnsi="Times New Roman" w:cs="Times New Roman"/>
          <w:color w:val="000000"/>
          <w:sz w:val="24"/>
          <w:szCs w:val="24"/>
        </w:rPr>
        <w:t xml:space="preserve">Binder, </w:t>
      </w:r>
      <w:r w:rsidRPr="006A015B">
        <w:rPr>
          <w:rFonts w:ascii="Times New Roman" w:hAnsi="Times New Roman" w:cs="Times New Roman"/>
          <w:sz w:val="24"/>
          <w:szCs w:val="24"/>
        </w:rPr>
        <w:t>pg. 48). In conclusion, despite the government efforts majority of the girls returned back to their traditions after going back home.</w:t>
      </w:r>
    </w:p>
    <w:p w:rsidR="006A015B" w:rsidRPr="006A015B" w:rsidRDefault="006A015B" w:rsidP="006A015B">
      <w:pPr>
        <w:spacing w:line="480" w:lineRule="auto"/>
        <w:rPr>
          <w:rFonts w:ascii="Times New Roman" w:hAnsi="Times New Roman" w:cs="Times New Roman"/>
          <w:b/>
          <w:sz w:val="24"/>
          <w:szCs w:val="24"/>
        </w:rPr>
      </w:pPr>
      <w:r w:rsidRPr="006A015B">
        <w:rPr>
          <w:rFonts w:ascii="Times New Roman" w:hAnsi="Times New Roman" w:cs="Times New Roman"/>
          <w:b/>
          <w:sz w:val="24"/>
          <w:szCs w:val="24"/>
        </w:rPr>
        <w:t>Chapter 4: Immigrant Life and Labor in an Expanding Economy</w:t>
      </w:r>
    </w:p>
    <w:p w:rsidR="006A015B" w:rsidRPr="006A015B" w:rsidRDefault="006A015B" w:rsidP="006A015B">
      <w:pPr>
        <w:spacing w:line="480" w:lineRule="auto"/>
        <w:rPr>
          <w:rFonts w:ascii="Times New Roman" w:hAnsi="Times New Roman" w:cs="Times New Roman"/>
          <w:b/>
          <w:sz w:val="24"/>
          <w:szCs w:val="24"/>
        </w:rPr>
      </w:pPr>
      <w:r w:rsidRPr="006A015B">
        <w:rPr>
          <w:rFonts w:ascii="Times New Roman" w:hAnsi="Times New Roman" w:cs="Times New Roman"/>
          <w:b/>
          <w:sz w:val="24"/>
          <w:szCs w:val="24"/>
        </w:rPr>
        <w:t>Robert F. Zeidel, “An Immigrant’s Anguish: The Americanization of Johanes Johansen.”</w:t>
      </w:r>
    </w:p>
    <w:p w:rsidR="006A015B" w:rsidRPr="006A015B" w:rsidRDefault="006A015B" w:rsidP="006A015B">
      <w:pPr>
        <w:spacing w:line="480" w:lineRule="auto"/>
        <w:ind w:firstLine="720"/>
        <w:rPr>
          <w:rFonts w:ascii="Times New Roman" w:hAnsi="Times New Roman" w:cs="Times New Roman"/>
          <w:sz w:val="24"/>
          <w:szCs w:val="24"/>
        </w:rPr>
      </w:pPr>
      <w:r w:rsidRPr="006A015B">
        <w:rPr>
          <w:rFonts w:ascii="Times New Roman" w:hAnsi="Times New Roman" w:cs="Times New Roman"/>
          <w:sz w:val="24"/>
          <w:szCs w:val="24"/>
        </w:rPr>
        <w:t>The author narrates the life of Johanes Johansen as an immigrant from Norway. He starts off by recalling the life of the character 20 years ago when we moved from Norway as a young boy. Johanes was anguished as a young boy in a foreign country and wished he could see his mother and hug her. The story revolves around the anger, pain, and anguish and challenges that immigrants go through. Although majority of them enjoy economic and social progress, they lose touch with their family and thus losing their culture. Despite the numerous immigrants entering in the US, there is no single commonality in most of them. The author highlights some of the reasons behind immigration from Norway. The character moved to America due to the increasing population in his mother country and high poverty levels. Moreover, there were more opportunities in America which was more industrialized compared to the country of origin which was less industrialized and focused on farming. The rich owned most of the land and thus causing strain on the available resources. Increase in the number of children born out of wedlock pushed many people to migrate to areas with socially acceptable culture in America.</w:t>
      </w:r>
    </w:p>
    <w:p w:rsidR="006A015B" w:rsidRPr="006A015B" w:rsidRDefault="006A015B" w:rsidP="006A015B">
      <w:pPr>
        <w:spacing w:line="480" w:lineRule="auto"/>
        <w:ind w:firstLine="720"/>
        <w:rPr>
          <w:rFonts w:ascii="Times New Roman" w:hAnsi="Times New Roman" w:cs="Times New Roman"/>
          <w:sz w:val="24"/>
          <w:szCs w:val="24"/>
        </w:rPr>
      </w:pPr>
      <w:r w:rsidRPr="006A015B">
        <w:rPr>
          <w:rFonts w:ascii="Times New Roman" w:hAnsi="Times New Roman" w:cs="Times New Roman"/>
          <w:sz w:val="24"/>
          <w:szCs w:val="24"/>
        </w:rPr>
        <w:lastRenderedPageBreak/>
        <w:t>Johanes chose to migrate to Wisconsin as a young boy. The region had a high population of foreigners with many Norwegians. “….4, 499 foreign-born residents (35 percent of the total population), including 40,046 Norwegians, the largest number for any state.”(</w:t>
      </w:r>
      <w:r w:rsidRPr="006A015B">
        <w:rPr>
          <w:rFonts w:ascii="Times New Roman" w:eastAsia="Times New Roman" w:hAnsi="Times New Roman" w:cs="Times New Roman"/>
          <w:color w:val="000000"/>
          <w:sz w:val="24"/>
          <w:szCs w:val="24"/>
        </w:rPr>
        <w:t xml:space="preserve">Binder, </w:t>
      </w:r>
      <w:r w:rsidRPr="006A015B">
        <w:rPr>
          <w:rFonts w:ascii="Times New Roman" w:hAnsi="Times New Roman" w:cs="Times New Roman"/>
          <w:sz w:val="24"/>
          <w:szCs w:val="24"/>
        </w:rPr>
        <w:t>pg. 68) Although he never secured a job in the area, he remained opportunistic since he would get mere jobs. The railway offered more jobs to the foreigners including Johanes. The economic opportunities and marriage deranged his plans of returning to his mother country after five years. This is an indication of the factors that push the immigrants into staying into the US. Living in communities of immigrants help them in dealing with the challenges as foreigners.</w:t>
      </w:r>
    </w:p>
    <w:p w:rsidR="006A015B" w:rsidRPr="00137417" w:rsidRDefault="006A015B" w:rsidP="00137417">
      <w:pPr>
        <w:spacing w:line="480" w:lineRule="auto"/>
        <w:rPr>
          <w:rFonts w:ascii="Times New Roman" w:hAnsi="Times New Roman" w:cs="Times New Roman"/>
          <w:b/>
          <w:sz w:val="24"/>
          <w:szCs w:val="24"/>
        </w:rPr>
      </w:pPr>
      <w:r w:rsidRPr="00137417">
        <w:rPr>
          <w:rFonts w:ascii="Times New Roman" w:hAnsi="Times New Roman" w:cs="Times New Roman"/>
          <w:b/>
          <w:sz w:val="24"/>
          <w:szCs w:val="24"/>
        </w:rPr>
        <w:t>Chapter 5: “Women’s Sphere: Women’s Work”</w:t>
      </w:r>
    </w:p>
    <w:p w:rsidR="006A015B" w:rsidRPr="00137417" w:rsidRDefault="006A015B" w:rsidP="00137417">
      <w:pPr>
        <w:spacing w:line="480" w:lineRule="auto"/>
        <w:rPr>
          <w:rFonts w:ascii="Times New Roman" w:hAnsi="Times New Roman" w:cs="Times New Roman"/>
          <w:b/>
          <w:sz w:val="24"/>
          <w:szCs w:val="24"/>
        </w:rPr>
      </w:pPr>
      <w:r w:rsidRPr="00137417">
        <w:rPr>
          <w:rFonts w:ascii="Times New Roman" w:hAnsi="Times New Roman" w:cs="Times New Roman"/>
          <w:b/>
          <w:sz w:val="24"/>
          <w:szCs w:val="24"/>
        </w:rPr>
        <w:t>Daniel Sidorick, “The ‘Girl Army’ and the Philadelphia Shirtwaist Strike, 1909-1910.”</w:t>
      </w:r>
    </w:p>
    <w:p w:rsidR="006A015B" w:rsidRPr="006A015B" w:rsidRDefault="006A015B" w:rsidP="006A015B">
      <w:pPr>
        <w:spacing w:line="480" w:lineRule="auto"/>
        <w:ind w:firstLine="720"/>
        <w:rPr>
          <w:rFonts w:ascii="Times New Roman" w:hAnsi="Times New Roman" w:cs="Times New Roman"/>
          <w:sz w:val="24"/>
          <w:szCs w:val="24"/>
        </w:rPr>
      </w:pPr>
      <w:r w:rsidRPr="006A015B">
        <w:rPr>
          <w:rFonts w:ascii="Times New Roman" w:hAnsi="Times New Roman" w:cs="Times New Roman"/>
          <w:sz w:val="24"/>
          <w:szCs w:val="24"/>
        </w:rPr>
        <w:t>The essay by Daniel Sidorick speaks about the economic transformation in the female garment industry after the 1860. There was a strike by the teenage girls over the dressing. By the fourth week into the strike, the union leader had given up due to the huge number of teenage girls’ arrest and the depletion of the funds.  The hostile government used all the avenues to frustrate their efforts. The manufacturers controlling the materials made it impossible for the demonstrations to be successful. The sympathizers raised funds to help the girls go on with their strike. After the mass strike in South Philadelphia, the union leader planned to meet up with the manufacturers. The final offer indicated that the companies would look into the issues raised by the workers. Despite of the constant frustrations from the respective stakeholders, the girls were relentless in their fight.  The strike in Philadelphia instigated other shirtwaist strike in New York. As the highest manufacturer of the women garments, New York companies started sending their workers to Philadelphia.</w:t>
      </w:r>
    </w:p>
    <w:p w:rsidR="006A015B" w:rsidRPr="006A015B" w:rsidRDefault="006A015B" w:rsidP="006A015B">
      <w:pPr>
        <w:spacing w:line="480" w:lineRule="auto"/>
        <w:ind w:firstLine="720"/>
        <w:rPr>
          <w:rFonts w:ascii="Times New Roman" w:hAnsi="Times New Roman" w:cs="Times New Roman"/>
          <w:sz w:val="24"/>
          <w:szCs w:val="24"/>
        </w:rPr>
      </w:pPr>
      <w:r w:rsidRPr="006A015B">
        <w:rPr>
          <w:rFonts w:ascii="Times New Roman" w:hAnsi="Times New Roman" w:cs="Times New Roman"/>
          <w:sz w:val="24"/>
          <w:szCs w:val="24"/>
        </w:rPr>
        <w:lastRenderedPageBreak/>
        <w:t>When we look into the strikes, we identify the role of the working women in the American history. Although some of them lost their lives, their fight bore fruits since many changes were made in the garment industry. “No mention was made, however, of an eerily similar fire that killed seven and injured dozens during the Philadelphia strike a year earlier than the Triangle fire, just two blocks away from the memorial at the union hall.” (</w:t>
      </w:r>
      <w:r w:rsidRPr="006A015B">
        <w:rPr>
          <w:rFonts w:ascii="Times New Roman" w:eastAsia="Times New Roman" w:hAnsi="Times New Roman" w:cs="Times New Roman"/>
          <w:color w:val="000000"/>
          <w:sz w:val="24"/>
          <w:szCs w:val="24"/>
        </w:rPr>
        <w:t xml:space="preserve">Binder, </w:t>
      </w:r>
      <w:r w:rsidRPr="006A015B">
        <w:rPr>
          <w:rFonts w:ascii="Times New Roman" w:hAnsi="Times New Roman" w:cs="Times New Roman"/>
          <w:sz w:val="24"/>
          <w:szCs w:val="24"/>
        </w:rPr>
        <w:t xml:space="preserve">pg. 82). Majority of the workers in the garment industry were from Jewish Origin. The strike was a sign of the unity in the female workers despite their race. </w:t>
      </w:r>
    </w:p>
    <w:p w:rsidR="008B64B6" w:rsidRPr="0085399D" w:rsidRDefault="008B64B6" w:rsidP="008B64B6">
      <w:pPr>
        <w:spacing w:line="480" w:lineRule="auto"/>
        <w:rPr>
          <w:rFonts w:ascii="Times New Roman" w:hAnsi="Times New Roman" w:cs="Times New Roman"/>
          <w:b/>
          <w:sz w:val="24"/>
          <w:szCs w:val="24"/>
        </w:rPr>
      </w:pPr>
      <w:r w:rsidRPr="0085399D">
        <w:rPr>
          <w:rFonts w:ascii="Times New Roman" w:hAnsi="Times New Roman" w:cs="Times New Roman"/>
          <w:b/>
          <w:sz w:val="24"/>
          <w:szCs w:val="24"/>
        </w:rPr>
        <w:t>Chapter 8: “Intolerance: A Bitter Legacy of Social Change”</w:t>
      </w:r>
    </w:p>
    <w:p w:rsidR="008B64B6" w:rsidRPr="0085399D" w:rsidRDefault="008B64B6" w:rsidP="008B64B6">
      <w:pPr>
        <w:spacing w:line="480" w:lineRule="auto"/>
        <w:rPr>
          <w:rFonts w:ascii="Times New Roman" w:hAnsi="Times New Roman" w:cs="Times New Roman"/>
          <w:b/>
          <w:sz w:val="24"/>
          <w:szCs w:val="24"/>
        </w:rPr>
      </w:pPr>
      <w:r w:rsidRPr="0085399D">
        <w:rPr>
          <w:rFonts w:ascii="Times New Roman" w:hAnsi="Times New Roman" w:cs="Times New Roman"/>
          <w:b/>
          <w:sz w:val="24"/>
          <w:szCs w:val="24"/>
        </w:rPr>
        <w:t>Kevin A. Boyle, “Prosperity and Prejudice in Postwar America.”</w:t>
      </w:r>
    </w:p>
    <w:p w:rsidR="008B64B6" w:rsidRPr="0085399D" w:rsidRDefault="008B64B6" w:rsidP="008B64B6">
      <w:pPr>
        <w:spacing w:line="480" w:lineRule="auto"/>
        <w:rPr>
          <w:rFonts w:ascii="Times New Roman" w:hAnsi="Times New Roman" w:cs="Times New Roman"/>
          <w:sz w:val="24"/>
          <w:szCs w:val="24"/>
        </w:rPr>
      </w:pPr>
      <w:r w:rsidRPr="0085399D">
        <w:rPr>
          <w:rFonts w:ascii="Times New Roman" w:hAnsi="Times New Roman" w:cs="Times New Roman"/>
          <w:sz w:val="24"/>
          <w:szCs w:val="24"/>
        </w:rPr>
        <w:t xml:space="preserve">In his essay, Kevin Boyle captures the live of the Americans after the Civil War. He highlights the oppression that the African-Americans experienced under the white supremacy. The social landscape is described as the “Negro Migration” when the blacks were running away from the constant oppression in the North and moved to the South. Due to the changes in the economy, there were many employment opportunities to the black community. Regions like Chicago experienced industrial growth and an increase in the population. The increase in the labor force increase the diversity in the population in Chicago and Detroit. Despite the oppression claims, the Northern region were in support of the South argument. When the black moved back to the North they were enthusiastic of the changes experienced. They believed that there would be more employment opportunities and thus more economic progress. </w:t>
      </w:r>
    </w:p>
    <w:p w:rsidR="008B64B6" w:rsidRPr="0085399D" w:rsidRDefault="008B64B6" w:rsidP="006F653E">
      <w:pPr>
        <w:spacing w:line="480" w:lineRule="auto"/>
        <w:ind w:firstLine="720"/>
        <w:rPr>
          <w:rFonts w:ascii="Times New Roman" w:hAnsi="Times New Roman" w:cs="Times New Roman"/>
          <w:sz w:val="24"/>
          <w:szCs w:val="24"/>
        </w:rPr>
      </w:pPr>
      <w:r w:rsidRPr="0085399D">
        <w:rPr>
          <w:rFonts w:ascii="Times New Roman" w:hAnsi="Times New Roman" w:cs="Times New Roman"/>
          <w:sz w:val="24"/>
          <w:szCs w:val="24"/>
        </w:rPr>
        <w:t xml:space="preserve">In the document by Hiram Evans, the author discusses the motives of Ku Klux Klan. </w:t>
      </w:r>
      <w:r w:rsidR="006F653E">
        <w:rPr>
          <w:rFonts w:ascii="Times New Roman" w:hAnsi="Times New Roman" w:cs="Times New Roman"/>
          <w:sz w:val="24"/>
          <w:szCs w:val="24"/>
        </w:rPr>
        <w:t>“</w:t>
      </w:r>
      <w:r w:rsidRPr="0085399D">
        <w:rPr>
          <w:rFonts w:ascii="Times New Roman" w:hAnsi="Times New Roman" w:cs="Times New Roman"/>
          <w:sz w:val="24"/>
          <w:szCs w:val="24"/>
        </w:rPr>
        <w:t>The level of intolerance among the American culture increased after the Second World War</w:t>
      </w:r>
      <w:r w:rsidR="006F653E">
        <w:rPr>
          <w:rFonts w:ascii="Times New Roman" w:hAnsi="Times New Roman" w:cs="Times New Roman"/>
          <w:sz w:val="24"/>
          <w:szCs w:val="24"/>
        </w:rPr>
        <w:t>” (pg. 140)</w:t>
      </w:r>
      <w:r w:rsidRPr="0085399D">
        <w:rPr>
          <w:rFonts w:ascii="Times New Roman" w:hAnsi="Times New Roman" w:cs="Times New Roman"/>
          <w:sz w:val="24"/>
          <w:szCs w:val="24"/>
        </w:rPr>
        <w:t xml:space="preserve">. There many speeches made concerning white supremacy. Many white citizens were </w:t>
      </w:r>
      <w:r w:rsidRPr="0085399D">
        <w:rPr>
          <w:rFonts w:ascii="Times New Roman" w:hAnsi="Times New Roman" w:cs="Times New Roman"/>
          <w:sz w:val="24"/>
          <w:szCs w:val="24"/>
        </w:rPr>
        <w:lastRenderedPageBreak/>
        <w:t>concerned about the increasing number of the non-white in America. In the eyes of the KKK, the growth of the catholic religion was unacceptable. This was because KKK was afraid of losing the political influence over the region. Some of the phrases used to reflect the hostility of the white race include “the undebatable supremacy of the white rule” and “our boundaries”. The essay and the document help us in understanding the perception that the white and Europeans had when immigrants started moving into their respective countries. Majority of them were hostile due to the fear of unknown and the feeling of supremacy</w:t>
      </w:r>
      <w:r w:rsidR="00137417">
        <w:rPr>
          <w:rFonts w:ascii="Times New Roman" w:hAnsi="Times New Roman" w:cs="Times New Roman"/>
          <w:sz w:val="24"/>
          <w:szCs w:val="24"/>
        </w:rPr>
        <w:t xml:space="preserve"> (</w:t>
      </w:r>
      <w:r w:rsidR="00137417" w:rsidRPr="006A015B">
        <w:rPr>
          <w:rFonts w:ascii="Times New Roman" w:eastAsia="Times New Roman" w:hAnsi="Times New Roman" w:cs="Times New Roman"/>
          <w:color w:val="000000"/>
          <w:sz w:val="24"/>
          <w:szCs w:val="24"/>
        </w:rPr>
        <w:t>Binder,</w:t>
      </w:r>
      <w:r w:rsidR="00137417">
        <w:rPr>
          <w:rFonts w:ascii="Times New Roman" w:eastAsia="Times New Roman" w:hAnsi="Times New Roman" w:cs="Times New Roman"/>
          <w:color w:val="000000"/>
          <w:sz w:val="24"/>
          <w:szCs w:val="24"/>
        </w:rPr>
        <w:t xml:space="preserve"> pg. 150)</w:t>
      </w:r>
      <w:r w:rsidRPr="0085399D">
        <w:rPr>
          <w:rFonts w:ascii="Times New Roman" w:hAnsi="Times New Roman" w:cs="Times New Roman"/>
          <w:sz w:val="24"/>
          <w:szCs w:val="24"/>
        </w:rPr>
        <w:t>.</w:t>
      </w:r>
    </w:p>
    <w:p w:rsidR="008B64B6" w:rsidRPr="00D119F3" w:rsidRDefault="008B64B6" w:rsidP="008B64B6">
      <w:pPr>
        <w:spacing w:line="480" w:lineRule="auto"/>
        <w:rPr>
          <w:rFonts w:ascii="Times New Roman" w:hAnsi="Times New Roman" w:cs="Times New Roman"/>
          <w:b/>
          <w:sz w:val="24"/>
          <w:szCs w:val="24"/>
        </w:rPr>
      </w:pPr>
      <w:r w:rsidRPr="00D119F3">
        <w:rPr>
          <w:rFonts w:ascii="Times New Roman" w:hAnsi="Times New Roman" w:cs="Times New Roman"/>
          <w:b/>
          <w:sz w:val="24"/>
          <w:szCs w:val="24"/>
        </w:rPr>
        <w:t>Chapter 12: Americans on the Move: Suburbs and Sunbelts</w:t>
      </w:r>
    </w:p>
    <w:p w:rsidR="008B64B6" w:rsidRPr="00D119F3" w:rsidRDefault="008B64B6" w:rsidP="008B64B6">
      <w:pPr>
        <w:spacing w:line="480" w:lineRule="auto"/>
        <w:rPr>
          <w:rFonts w:ascii="Times New Roman" w:hAnsi="Times New Roman" w:cs="Times New Roman"/>
          <w:b/>
          <w:sz w:val="24"/>
          <w:szCs w:val="24"/>
        </w:rPr>
      </w:pPr>
      <w:r w:rsidRPr="00D119F3">
        <w:rPr>
          <w:rFonts w:ascii="Times New Roman" w:hAnsi="Times New Roman" w:cs="Times New Roman"/>
          <w:b/>
          <w:sz w:val="24"/>
          <w:szCs w:val="24"/>
        </w:rPr>
        <w:t>Kenneth Jackson, “The Baby Boom and the Age of the Subdivision.”</w:t>
      </w:r>
    </w:p>
    <w:p w:rsidR="008B64B6" w:rsidRPr="00D119F3" w:rsidRDefault="008B64B6" w:rsidP="008B64B6">
      <w:pPr>
        <w:spacing w:line="480" w:lineRule="auto"/>
        <w:ind w:firstLine="720"/>
        <w:rPr>
          <w:rFonts w:ascii="Times New Roman" w:hAnsi="Times New Roman" w:cs="Times New Roman"/>
          <w:sz w:val="24"/>
          <w:szCs w:val="24"/>
        </w:rPr>
      </w:pPr>
      <w:r w:rsidRPr="00D119F3">
        <w:rPr>
          <w:rFonts w:ascii="Times New Roman" w:hAnsi="Times New Roman" w:cs="Times New Roman"/>
          <w:sz w:val="24"/>
          <w:szCs w:val="24"/>
        </w:rPr>
        <w:t>The end of the Second World War sparked a period of economic growth. Due to the economic stability and increase in the employment opportunities the dreams of the middle class to own a home scaled.  The demand for suburb house increased as the number of families and war veteran increased. The most crucial part of the war was the survival of the husband and the son of the family since it meant the continuation of the heritage. Many of the families lost their bread winners during the war and the women had to take up the role of the fathers and the sole providers. During the war period, the market was flooded with the demand for the war materials. Once the war was over, families regrouped and the level of birth rate increased tremendously.</w:t>
      </w:r>
    </w:p>
    <w:p w:rsidR="008B64B6" w:rsidRPr="00D119F3" w:rsidRDefault="008B64B6" w:rsidP="008B64B6">
      <w:pPr>
        <w:spacing w:line="480" w:lineRule="auto"/>
        <w:rPr>
          <w:rFonts w:ascii="Times New Roman" w:hAnsi="Times New Roman" w:cs="Times New Roman"/>
          <w:sz w:val="24"/>
          <w:szCs w:val="24"/>
        </w:rPr>
      </w:pPr>
      <w:r w:rsidRPr="00D119F3">
        <w:rPr>
          <w:rFonts w:ascii="Times New Roman" w:hAnsi="Times New Roman" w:cs="Times New Roman"/>
          <w:sz w:val="24"/>
          <w:szCs w:val="24"/>
        </w:rPr>
        <w:tab/>
        <w:t xml:space="preserve">Majority of the families started looking for houses to settle down. The high demand of housing pushed the government to intervene and provide a fund that would help the middle class to own a house. Through the program, companies were able to build more than 14,000 homes for the Americans. The house had similar architectural characteristics and were built in areas that were less dense populated. Moreover, the house were easily available to anybody who needed </w:t>
      </w:r>
      <w:r w:rsidRPr="00D119F3">
        <w:rPr>
          <w:rFonts w:ascii="Times New Roman" w:hAnsi="Times New Roman" w:cs="Times New Roman"/>
          <w:sz w:val="24"/>
          <w:szCs w:val="24"/>
        </w:rPr>
        <w:lastRenderedPageBreak/>
        <w:t xml:space="preserve">one. The major concern raised was the fact that the house allocation was done based on the color and income of the family. This alienated many black families from living in the suburbs. </w:t>
      </w:r>
      <w:r w:rsidR="006F653E">
        <w:rPr>
          <w:rFonts w:ascii="Times New Roman" w:hAnsi="Times New Roman" w:cs="Times New Roman"/>
          <w:sz w:val="24"/>
          <w:szCs w:val="24"/>
        </w:rPr>
        <w:t>“</w:t>
      </w:r>
      <w:r w:rsidRPr="00D119F3">
        <w:rPr>
          <w:rFonts w:ascii="Times New Roman" w:hAnsi="Times New Roman" w:cs="Times New Roman"/>
          <w:sz w:val="24"/>
          <w:szCs w:val="24"/>
        </w:rPr>
        <w:t>The establishment of suburbs reduced the huge population density in town but also resulted to disintegration of the extended families since majority of the children were forced to stay with their siblings and parents</w:t>
      </w:r>
      <w:r w:rsidR="006F653E">
        <w:rPr>
          <w:rFonts w:ascii="Times New Roman" w:hAnsi="Times New Roman" w:cs="Times New Roman"/>
          <w:sz w:val="24"/>
          <w:szCs w:val="24"/>
        </w:rPr>
        <w:t>”</w:t>
      </w:r>
      <w:r w:rsidR="00137417">
        <w:rPr>
          <w:rFonts w:ascii="Times New Roman" w:hAnsi="Times New Roman" w:cs="Times New Roman"/>
          <w:sz w:val="24"/>
          <w:szCs w:val="24"/>
        </w:rPr>
        <w:t xml:space="preserve"> (</w:t>
      </w:r>
      <w:r w:rsidR="00137417" w:rsidRPr="006A015B">
        <w:rPr>
          <w:rFonts w:ascii="Times New Roman" w:eastAsia="Times New Roman" w:hAnsi="Times New Roman" w:cs="Times New Roman"/>
          <w:color w:val="000000"/>
          <w:sz w:val="24"/>
          <w:szCs w:val="24"/>
        </w:rPr>
        <w:t>Binder,</w:t>
      </w:r>
      <w:r w:rsidR="00137417">
        <w:rPr>
          <w:rFonts w:ascii="Times New Roman" w:eastAsia="Times New Roman" w:hAnsi="Times New Roman" w:cs="Times New Roman"/>
          <w:color w:val="000000"/>
          <w:sz w:val="24"/>
          <w:szCs w:val="24"/>
        </w:rPr>
        <w:t xml:space="preserve"> pg. 228)</w:t>
      </w:r>
      <w:r w:rsidRPr="00D119F3">
        <w:rPr>
          <w:rFonts w:ascii="Times New Roman" w:hAnsi="Times New Roman" w:cs="Times New Roman"/>
          <w:sz w:val="24"/>
          <w:szCs w:val="24"/>
        </w:rPr>
        <w:t>.</w:t>
      </w:r>
    </w:p>
    <w:p w:rsidR="008B64B6" w:rsidRPr="009C270B" w:rsidRDefault="008B64B6" w:rsidP="008B64B6">
      <w:pPr>
        <w:spacing w:line="480" w:lineRule="auto"/>
        <w:rPr>
          <w:rFonts w:ascii="Times New Roman" w:hAnsi="Times New Roman" w:cs="Times New Roman"/>
          <w:b/>
          <w:sz w:val="24"/>
          <w:szCs w:val="24"/>
        </w:rPr>
      </w:pPr>
      <w:r w:rsidRPr="009C270B">
        <w:rPr>
          <w:rFonts w:ascii="Times New Roman" w:hAnsi="Times New Roman" w:cs="Times New Roman"/>
          <w:b/>
          <w:sz w:val="24"/>
          <w:szCs w:val="24"/>
        </w:rPr>
        <w:t>Chapter 13: Minority Struggle for Equality</w:t>
      </w:r>
    </w:p>
    <w:p w:rsidR="008B64B6" w:rsidRPr="009C270B" w:rsidRDefault="008B64B6" w:rsidP="008B64B6">
      <w:pPr>
        <w:spacing w:line="480" w:lineRule="auto"/>
        <w:rPr>
          <w:rFonts w:ascii="Times New Roman" w:hAnsi="Times New Roman" w:cs="Times New Roman"/>
          <w:b/>
          <w:sz w:val="24"/>
          <w:szCs w:val="24"/>
        </w:rPr>
      </w:pPr>
      <w:r w:rsidRPr="009C270B">
        <w:rPr>
          <w:rFonts w:ascii="Times New Roman" w:hAnsi="Times New Roman" w:cs="Times New Roman"/>
          <w:b/>
          <w:sz w:val="24"/>
          <w:szCs w:val="24"/>
        </w:rPr>
        <w:t>William Doyle, “Crisis in Little Rock.”</w:t>
      </w:r>
    </w:p>
    <w:p w:rsidR="008B64B6" w:rsidRPr="009C270B" w:rsidRDefault="008B64B6" w:rsidP="008B64B6">
      <w:pPr>
        <w:spacing w:line="480" w:lineRule="auto"/>
        <w:ind w:firstLine="720"/>
        <w:rPr>
          <w:rFonts w:ascii="Times New Roman" w:hAnsi="Times New Roman" w:cs="Times New Roman"/>
          <w:sz w:val="24"/>
          <w:szCs w:val="24"/>
        </w:rPr>
      </w:pPr>
      <w:r w:rsidRPr="009C270B">
        <w:rPr>
          <w:rFonts w:ascii="Times New Roman" w:hAnsi="Times New Roman" w:cs="Times New Roman"/>
          <w:sz w:val="24"/>
          <w:szCs w:val="24"/>
        </w:rPr>
        <w:t>The essay by William Doyle talks about Little Rock Nine. When Elizabeth was going to school on the first day, she is asked to go back home by the soldiers as instructed by the Governor Faubus. The crowd surrounding the school heckled her and asked for a rope to lynch her. Despite the opposition from the soldiers and the crowd the Nine are able to enter in the school and attend classes. This move forced the crowd outside to start throwing stones at the school in attempt to force the little nine out of the school. In the end, the little nine are forced out of the school. The president is concerned about the move but because he did not want to get involved with the affairs of the governors he instructed Eugun to look into the matter.</w:t>
      </w:r>
    </w:p>
    <w:p w:rsidR="008B64B6" w:rsidRPr="009C270B" w:rsidRDefault="008B64B6" w:rsidP="008B64B6">
      <w:pPr>
        <w:spacing w:line="480" w:lineRule="auto"/>
        <w:ind w:firstLine="720"/>
        <w:rPr>
          <w:rFonts w:ascii="Times New Roman" w:hAnsi="Times New Roman" w:cs="Times New Roman"/>
          <w:sz w:val="24"/>
          <w:szCs w:val="24"/>
        </w:rPr>
      </w:pPr>
      <w:r w:rsidRPr="009C270B">
        <w:rPr>
          <w:rFonts w:ascii="Times New Roman" w:hAnsi="Times New Roman" w:cs="Times New Roman"/>
          <w:sz w:val="24"/>
          <w:szCs w:val="24"/>
        </w:rPr>
        <w:t xml:space="preserve">According to the governor, the school should be categorized based on the race of the student. Members of the same race would go to the same school. Nevertheless, Little Rock was opposed to that idea. Whenever a black student was spotted, he or she would be surrounded by other students. The US Army Paratroopers decided to seize the Little Rock. In the seizure, there were few case of violence since only one shot was fired. This is a clear indication of how the minority (African-Americans) had a hard time integrating with the whites in the education sector. Despite the efforts by the government to allow the collaboration the white individuals were </w:t>
      </w:r>
      <w:r w:rsidRPr="009C270B">
        <w:rPr>
          <w:rFonts w:ascii="Times New Roman" w:hAnsi="Times New Roman" w:cs="Times New Roman"/>
          <w:sz w:val="24"/>
          <w:szCs w:val="24"/>
        </w:rPr>
        <w:lastRenderedPageBreak/>
        <w:t>opposed to the program. The army went ahead and seized the Little Rock. Moreover, the white students were asked to leave the school during the seizure and once the process was complete the students felt safer</w:t>
      </w:r>
      <w:r w:rsidR="00137417">
        <w:rPr>
          <w:rFonts w:ascii="Times New Roman" w:hAnsi="Times New Roman" w:cs="Times New Roman"/>
          <w:sz w:val="24"/>
          <w:szCs w:val="24"/>
        </w:rPr>
        <w:t xml:space="preserve"> (</w:t>
      </w:r>
      <w:r w:rsidR="00137417" w:rsidRPr="006A015B">
        <w:rPr>
          <w:rFonts w:ascii="Times New Roman" w:eastAsia="Times New Roman" w:hAnsi="Times New Roman" w:cs="Times New Roman"/>
          <w:color w:val="000000"/>
          <w:sz w:val="24"/>
          <w:szCs w:val="24"/>
        </w:rPr>
        <w:t>Binder,</w:t>
      </w:r>
      <w:r w:rsidR="00137417">
        <w:rPr>
          <w:rFonts w:ascii="Times New Roman" w:eastAsia="Times New Roman" w:hAnsi="Times New Roman" w:cs="Times New Roman"/>
          <w:color w:val="000000"/>
          <w:sz w:val="24"/>
          <w:szCs w:val="24"/>
        </w:rPr>
        <w:t xml:space="preserve"> pg. 250)</w:t>
      </w:r>
      <w:r w:rsidRPr="009C270B">
        <w:rPr>
          <w:rFonts w:ascii="Times New Roman" w:hAnsi="Times New Roman" w:cs="Times New Roman"/>
          <w:sz w:val="24"/>
          <w:szCs w:val="24"/>
        </w:rPr>
        <w:t>.</w:t>
      </w:r>
    </w:p>
    <w:p w:rsidR="008B64B6" w:rsidRPr="0010608E" w:rsidRDefault="008B64B6" w:rsidP="008B64B6">
      <w:pPr>
        <w:spacing w:line="480" w:lineRule="auto"/>
        <w:rPr>
          <w:rFonts w:ascii="Times New Roman" w:hAnsi="Times New Roman" w:cs="Times New Roman"/>
          <w:b/>
          <w:sz w:val="24"/>
          <w:szCs w:val="24"/>
        </w:rPr>
      </w:pPr>
      <w:r w:rsidRPr="0010608E">
        <w:rPr>
          <w:rFonts w:ascii="Times New Roman" w:hAnsi="Times New Roman" w:cs="Times New Roman"/>
          <w:b/>
          <w:sz w:val="24"/>
          <w:szCs w:val="24"/>
        </w:rPr>
        <w:t>Chapter 14: The Sixties and Beyond: Times of Protest</w:t>
      </w:r>
    </w:p>
    <w:p w:rsidR="008B64B6" w:rsidRPr="0010608E" w:rsidRDefault="008B64B6" w:rsidP="008B64B6">
      <w:pPr>
        <w:spacing w:line="480" w:lineRule="auto"/>
        <w:rPr>
          <w:rFonts w:ascii="Times New Roman" w:hAnsi="Times New Roman" w:cs="Times New Roman"/>
          <w:b/>
          <w:sz w:val="24"/>
          <w:szCs w:val="24"/>
        </w:rPr>
      </w:pPr>
      <w:r w:rsidRPr="0010608E">
        <w:rPr>
          <w:rFonts w:ascii="Times New Roman" w:hAnsi="Times New Roman" w:cs="Times New Roman"/>
          <w:b/>
          <w:sz w:val="24"/>
          <w:szCs w:val="24"/>
        </w:rPr>
        <w:t>Terry Anderson, “The Movement and the Sixties Generations.”</w:t>
      </w:r>
    </w:p>
    <w:p w:rsidR="008B64B6" w:rsidRPr="0010608E" w:rsidRDefault="008B64B6" w:rsidP="008B64B6">
      <w:pPr>
        <w:spacing w:line="480" w:lineRule="auto"/>
        <w:ind w:firstLine="720"/>
        <w:rPr>
          <w:rFonts w:ascii="Times New Roman" w:hAnsi="Times New Roman" w:cs="Times New Roman"/>
          <w:sz w:val="24"/>
          <w:szCs w:val="24"/>
        </w:rPr>
      </w:pPr>
      <w:r w:rsidRPr="0010608E">
        <w:rPr>
          <w:rFonts w:ascii="Times New Roman" w:hAnsi="Times New Roman" w:cs="Times New Roman"/>
          <w:sz w:val="24"/>
          <w:szCs w:val="24"/>
        </w:rPr>
        <w:t xml:space="preserve">The author introduces the story of a student activity would led a student movement at UC-Berkley. The dean has stated that the student leadership should not set up tables that advocated for issues not related to the school. The students became directly involved in the demonstrations that were addressing the plight of the employees. Some organizations were practicing discriminatory policies which pushed the workers to engage in civil rights demonstration. The primary role of the universities in the sixties was to educate the generation but the students realized that the time was over for them to continue being silent. The leadership believed that the young ones would air their voices and be listened to. </w:t>
      </w:r>
      <w:r w:rsidR="00856DC6">
        <w:rPr>
          <w:rFonts w:ascii="Times New Roman" w:hAnsi="Times New Roman" w:cs="Times New Roman"/>
          <w:sz w:val="24"/>
          <w:szCs w:val="24"/>
        </w:rPr>
        <w:t>“</w:t>
      </w:r>
      <w:r w:rsidRPr="0010608E">
        <w:rPr>
          <w:rFonts w:ascii="Times New Roman" w:hAnsi="Times New Roman" w:cs="Times New Roman"/>
          <w:sz w:val="24"/>
          <w:szCs w:val="24"/>
        </w:rPr>
        <w:t>The Free Speech Movement was able to convince the students to engage in non-violence demonstrations in case they needed to be listened.</w:t>
      </w:r>
      <w:r w:rsidR="00856DC6">
        <w:rPr>
          <w:rFonts w:ascii="Times New Roman" w:hAnsi="Times New Roman" w:cs="Times New Roman"/>
          <w:sz w:val="24"/>
          <w:szCs w:val="24"/>
        </w:rPr>
        <w:t>”</w:t>
      </w:r>
    </w:p>
    <w:p w:rsidR="008B64B6" w:rsidRPr="0010608E" w:rsidRDefault="008B64B6" w:rsidP="008B64B6">
      <w:pPr>
        <w:spacing w:line="480" w:lineRule="auto"/>
        <w:rPr>
          <w:rFonts w:ascii="Times New Roman" w:hAnsi="Times New Roman" w:cs="Times New Roman"/>
          <w:sz w:val="24"/>
          <w:szCs w:val="24"/>
        </w:rPr>
      </w:pPr>
      <w:r w:rsidRPr="0010608E">
        <w:rPr>
          <w:rFonts w:ascii="Times New Roman" w:hAnsi="Times New Roman" w:cs="Times New Roman"/>
          <w:sz w:val="24"/>
          <w:szCs w:val="24"/>
        </w:rPr>
        <w:tab/>
        <w:t xml:space="preserve">Jack, a student in UC Berkley, issued flyers which was against the school policy but the administration never punished him because he was supported by the other students. Moreover, the students protested the officers who had come to deal with the case. Due to the activities of the movement, the university’s administration realized that it was futile to prohibit the right to free speech. Some of the students started questioning the importance of the university education. Others even questioned the reasons for the older generation being in charge of the country’s future. The Vietnam War of the 1960s pushed the students to speak out and promotion of </w:t>
      </w:r>
      <w:r w:rsidRPr="0010608E">
        <w:rPr>
          <w:rFonts w:ascii="Times New Roman" w:hAnsi="Times New Roman" w:cs="Times New Roman"/>
          <w:sz w:val="24"/>
          <w:szCs w:val="24"/>
        </w:rPr>
        <w:lastRenderedPageBreak/>
        <w:t>counterculturalism in learning institutions. The vibrant student movement played a significant role in shaping the history of America. The free of speech and demonstration we enjoy today was as a result of the selfless acts of the demonstrators</w:t>
      </w:r>
      <w:r w:rsidR="00137417">
        <w:rPr>
          <w:rFonts w:ascii="Times New Roman" w:hAnsi="Times New Roman" w:cs="Times New Roman"/>
          <w:sz w:val="24"/>
          <w:szCs w:val="24"/>
        </w:rPr>
        <w:t xml:space="preserve"> (</w:t>
      </w:r>
      <w:r w:rsidR="00137417" w:rsidRPr="006A015B">
        <w:rPr>
          <w:rFonts w:ascii="Times New Roman" w:eastAsia="Times New Roman" w:hAnsi="Times New Roman" w:cs="Times New Roman"/>
          <w:color w:val="000000"/>
          <w:sz w:val="24"/>
          <w:szCs w:val="24"/>
        </w:rPr>
        <w:t>Binder,</w:t>
      </w:r>
      <w:r w:rsidR="00137417">
        <w:rPr>
          <w:rFonts w:ascii="Times New Roman" w:eastAsia="Times New Roman" w:hAnsi="Times New Roman" w:cs="Times New Roman"/>
          <w:color w:val="000000"/>
          <w:sz w:val="24"/>
          <w:szCs w:val="24"/>
        </w:rPr>
        <w:t xml:space="preserve"> pg. 271)</w:t>
      </w:r>
      <w:r w:rsidRPr="0010608E">
        <w:rPr>
          <w:rFonts w:ascii="Times New Roman" w:hAnsi="Times New Roman" w:cs="Times New Roman"/>
          <w:sz w:val="24"/>
          <w:szCs w:val="24"/>
        </w:rPr>
        <w:t>.</w:t>
      </w:r>
    </w:p>
    <w:p w:rsidR="008B64B6" w:rsidRPr="00A14857" w:rsidRDefault="008B64B6" w:rsidP="008B64B6">
      <w:pPr>
        <w:spacing w:line="480" w:lineRule="auto"/>
        <w:rPr>
          <w:rFonts w:ascii="Times New Roman" w:hAnsi="Times New Roman" w:cs="Times New Roman"/>
          <w:b/>
          <w:sz w:val="24"/>
          <w:szCs w:val="24"/>
        </w:rPr>
      </w:pPr>
      <w:r w:rsidRPr="00A14857">
        <w:rPr>
          <w:rFonts w:ascii="Times New Roman" w:hAnsi="Times New Roman" w:cs="Times New Roman"/>
          <w:b/>
          <w:sz w:val="24"/>
          <w:szCs w:val="24"/>
        </w:rPr>
        <w:t>Chapter 15: The Revival of Feminism</w:t>
      </w:r>
    </w:p>
    <w:p w:rsidR="008B64B6" w:rsidRPr="00A14857" w:rsidRDefault="008B64B6" w:rsidP="008B64B6">
      <w:pPr>
        <w:spacing w:line="480" w:lineRule="auto"/>
        <w:rPr>
          <w:rFonts w:ascii="Times New Roman" w:hAnsi="Times New Roman" w:cs="Times New Roman"/>
          <w:b/>
          <w:sz w:val="24"/>
          <w:szCs w:val="24"/>
        </w:rPr>
      </w:pPr>
      <w:r w:rsidRPr="00A14857">
        <w:rPr>
          <w:rFonts w:ascii="Times New Roman" w:hAnsi="Times New Roman" w:cs="Times New Roman"/>
          <w:b/>
          <w:sz w:val="24"/>
          <w:szCs w:val="24"/>
        </w:rPr>
        <w:t>Flora Davis, “Feminism’s Second Wave: The Opening Salvos.”</w:t>
      </w:r>
    </w:p>
    <w:p w:rsidR="008B64B6" w:rsidRPr="00A14857" w:rsidRDefault="008B64B6" w:rsidP="008B64B6">
      <w:pPr>
        <w:spacing w:line="480" w:lineRule="auto"/>
        <w:ind w:firstLine="720"/>
        <w:rPr>
          <w:rFonts w:ascii="Times New Roman" w:hAnsi="Times New Roman" w:cs="Times New Roman"/>
          <w:sz w:val="24"/>
          <w:szCs w:val="24"/>
        </w:rPr>
      </w:pPr>
      <w:r w:rsidRPr="00A14857">
        <w:rPr>
          <w:rFonts w:ascii="Times New Roman" w:hAnsi="Times New Roman" w:cs="Times New Roman"/>
          <w:sz w:val="24"/>
          <w:szCs w:val="24"/>
        </w:rPr>
        <w:t xml:space="preserve">In 1960s, the women were actively involved in the movement. It is usually considered as the second wave of feminism since it attracted women from all ages. In the early 1970s, the feminism wave sparked at the national level. In the movement, the women were seen to be strong and independent and people changed the assumptions towards women on their rights. In the period, the stewardesses demanded to be treated like other workers instead of a sex worker. One of the major concern of the job of stewardess was the lack of job security. </w:t>
      </w:r>
      <w:r w:rsidR="00856DC6">
        <w:rPr>
          <w:rFonts w:ascii="Times New Roman" w:hAnsi="Times New Roman" w:cs="Times New Roman"/>
          <w:sz w:val="24"/>
          <w:szCs w:val="24"/>
        </w:rPr>
        <w:t>“</w:t>
      </w:r>
      <w:r w:rsidRPr="00A14857">
        <w:rPr>
          <w:rFonts w:ascii="Times New Roman" w:hAnsi="Times New Roman" w:cs="Times New Roman"/>
          <w:sz w:val="24"/>
          <w:szCs w:val="24"/>
        </w:rPr>
        <w:t>Majority of them would lose their job once they got to 25 years.</w:t>
      </w:r>
      <w:r w:rsidR="00856DC6">
        <w:rPr>
          <w:rFonts w:ascii="Times New Roman" w:hAnsi="Times New Roman" w:cs="Times New Roman"/>
          <w:sz w:val="24"/>
          <w:szCs w:val="24"/>
        </w:rPr>
        <w:t>” (pg. 280)</w:t>
      </w:r>
      <w:r w:rsidRPr="00A14857">
        <w:rPr>
          <w:rFonts w:ascii="Times New Roman" w:hAnsi="Times New Roman" w:cs="Times New Roman"/>
          <w:sz w:val="24"/>
          <w:szCs w:val="24"/>
        </w:rPr>
        <w:t xml:space="preserve"> In the 1960s, majority of the women were forced to get married at an early age. Anyone that was not married at 25 years was considered as an old maid. Moreover, the wages of the stewardess was so low that they would be forced to rent an apartment and stay more than 5 of them.</w:t>
      </w:r>
    </w:p>
    <w:p w:rsidR="008B64B6" w:rsidRPr="00A14857" w:rsidRDefault="008B64B6" w:rsidP="008B64B6">
      <w:pPr>
        <w:spacing w:line="480" w:lineRule="auto"/>
        <w:ind w:firstLine="720"/>
        <w:rPr>
          <w:rFonts w:ascii="Times New Roman" w:hAnsi="Times New Roman" w:cs="Times New Roman"/>
          <w:sz w:val="24"/>
          <w:szCs w:val="24"/>
        </w:rPr>
      </w:pPr>
      <w:r w:rsidRPr="00A14857">
        <w:rPr>
          <w:rFonts w:ascii="Times New Roman" w:hAnsi="Times New Roman" w:cs="Times New Roman"/>
          <w:sz w:val="24"/>
          <w:szCs w:val="24"/>
        </w:rPr>
        <w:t xml:space="preserve">Some of the union leaders would relentlessly to ensure that the age restrictions on stewardess was lifted. The fight did not bear fruits since it was done by the minority group. Nancy Collins moved to the Congress and requested the passing of the Old Broads Bill. When the Civil Rights Act was passed, the Congress include the Equal Employment Opportunity Act which ensured that there was no discrimination in jobs. Furthermore, the women would be treated equally as their male counterpart at workplace. Many women movement since then have come forward to campaign against the inequalities against the women all over the country. As </w:t>
      </w:r>
      <w:r w:rsidRPr="00A14857">
        <w:rPr>
          <w:rFonts w:ascii="Times New Roman" w:hAnsi="Times New Roman" w:cs="Times New Roman"/>
          <w:sz w:val="24"/>
          <w:szCs w:val="24"/>
        </w:rPr>
        <w:lastRenderedPageBreak/>
        <w:t>many assumed, many women are not there for marriage but instead they can help in national building project. The 1960s women’s movements were crucial in setting up the pace for the current women generation</w:t>
      </w:r>
      <w:r w:rsidR="00137417">
        <w:rPr>
          <w:rFonts w:ascii="Times New Roman" w:hAnsi="Times New Roman" w:cs="Times New Roman"/>
          <w:sz w:val="24"/>
          <w:szCs w:val="24"/>
        </w:rPr>
        <w:t xml:space="preserve"> (</w:t>
      </w:r>
      <w:r w:rsidR="00137417" w:rsidRPr="006A015B">
        <w:rPr>
          <w:rFonts w:ascii="Times New Roman" w:eastAsia="Times New Roman" w:hAnsi="Times New Roman" w:cs="Times New Roman"/>
          <w:color w:val="000000"/>
          <w:sz w:val="24"/>
          <w:szCs w:val="24"/>
        </w:rPr>
        <w:t>Binder,</w:t>
      </w:r>
      <w:r w:rsidR="00137417">
        <w:rPr>
          <w:rFonts w:ascii="Times New Roman" w:eastAsia="Times New Roman" w:hAnsi="Times New Roman" w:cs="Times New Roman"/>
          <w:color w:val="000000"/>
          <w:sz w:val="24"/>
          <w:szCs w:val="24"/>
        </w:rPr>
        <w:t xml:space="preserve"> pg. 284)</w:t>
      </w:r>
      <w:r w:rsidRPr="00A14857">
        <w:rPr>
          <w:rFonts w:ascii="Times New Roman" w:hAnsi="Times New Roman" w:cs="Times New Roman"/>
          <w:sz w:val="24"/>
          <w:szCs w:val="24"/>
        </w:rPr>
        <w:t>.</w:t>
      </w:r>
    </w:p>
    <w:p w:rsidR="006A015B" w:rsidRDefault="006A015B"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137417" w:rsidRDefault="00137417" w:rsidP="008B64B6">
      <w:pPr>
        <w:shd w:val="clear" w:color="auto" w:fill="FFFFFF"/>
        <w:spacing w:after="0" w:line="480" w:lineRule="auto"/>
        <w:rPr>
          <w:rFonts w:ascii="Times New Roman" w:eastAsia="Times New Roman" w:hAnsi="Times New Roman" w:cs="Times New Roman"/>
          <w:color w:val="000000"/>
          <w:sz w:val="24"/>
          <w:szCs w:val="24"/>
        </w:rPr>
      </w:pPr>
    </w:p>
    <w:p w:rsidR="006A015B" w:rsidRPr="006A015B" w:rsidRDefault="006A015B" w:rsidP="006A015B">
      <w:pPr>
        <w:shd w:val="clear" w:color="auto" w:fill="FFFFFF"/>
        <w:spacing w:after="0" w:line="480" w:lineRule="auto"/>
        <w:jc w:val="center"/>
        <w:rPr>
          <w:rFonts w:ascii="Times New Roman" w:eastAsia="Times New Roman" w:hAnsi="Times New Roman" w:cs="Times New Roman"/>
          <w:color w:val="000000"/>
          <w:sz w:val="24"/>
          <w:szCs w:val="24"/>
        </w:rPr>
      </w:pPr>
      <w:r w:rsidRPr="006A015B">
        <w:rPr>
          <w:rFonts w:ascii="Times New Roman" w:eastAsia="Times New Roman" w:hAnsi="Times New Roman" w:cs="Times New Roman"/>
          <w:color w:val="000000"/>
          <w:sz w:val="24"/>
          <w:szCs w:val="24"/>
        </w:rPr>
        <w:lastRenderedPageBreak/>
        <w:t>References</w:t>
      </w:r>
    </w:p>
    <w:p w:rsidR="006A015B" w:rsidRPr="006A015B" w:rsidRDefault="006A015B" w:rsidP="006A015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A015B">
        <w:rPr>
          <w:rFonts w:ascii="Times New Roman" w:eastAsia="Times New Roman" w:hAnsi="Times New Roman" w:cs="Times New Roman"/>
          <w:color w:val="000000"/>
          <w:sz w:val="24"/>
          <w:szCs w:val="24"/>
        </w:rPr>
        <w:t>Binder, F. M., &amp; Reimers, D. M. (2008). </w:t>
      </w:r>
      <w:r w:rsidRPr="006A015B">
        <w:rPr>
          <w:rFonts w:ascii="Times New Roman" w:eastAsia="Times New Roman" w:hAnsi="Times New Roman" w:cs="Times New Roman"/>
          <w:i/>
          <w:iCs/>
          <w:color w:val="000000"/>
          <w:sz w:val="24"/>
          <w:szCs w:val="24"/>
        </w:rPr>
        <w:t>The way we lived: Essays and documents in American social history</w:t>
      </w:r>
      <w:r w:rsidRPr="006A015B">
        <w:rPr>
          <w:rFonts w:ascii="Times New Roman" w:eastAsia="Times New Roman" w:hAnsi="Times New Roman" w:cs="Times New Roman"/>
          <w:color w:val="000000"/>
          <w:sz w:val="24"/>
          <w:szCs w:val="24"/>
        </w:rPr>
        <w:t> (7th ed.). Princeton, NJ: Recording for the Blind &amp; Dyslexic.</w:t>
      </w:r>
    </w:p>
    <w:p w:rsidR="009762C3" w:rsidRPr="006A015B" w:rsidRDefault="00AA4E81" w:rsidP="006A015B">
      <w:pPr>
        <w:spacing w:line="480" w:lineRule="auto"/>
        <w:rPr>
          <w:rFonts w:ascii="Times New Roman" w:hAnsi="Times New Roman" w:cs="Times New Roman"/>
          <w:sz w:val="24"/>
          <w:szCs w:val="24"/>
        </w:rPr>
      </w:pPr>
    </w:p>
    <w:sectPr w:rsidR="009762C3" w:rsidRPr="006A015B" w:rsidSect="006A01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E81" w:rsidRDefault="00AA4E81" w:rsidP="006A015B">
      <w:pPr>
        <w:spacing w:after="0" w:line="240" w:lineRule="auto"/>
      </w:pPr>
      <w:r>
        <w:separator/>
      </w:r>
    </w:p>
  </w:endnote>
  <w:endnote w:type="continuationSeparator" w:id="0">
    <w:p w:rsidR="00AA4E81" w:rsidRDefault="00AA4E81" w:rsidP="006A0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E81" w:rsidRDefault="00AA4E81" w:rsidP="006A015B">
      <w:pPr>
        <w:spacing w:after="0" w:line="240" w:lineRule="auto"/>
      </w:pPr>
      <w:r>
        <w:separator/>
      </w:r>
    </w:p>
  </w:footnote>
  <w:footnote w:type="continuationSeparator" w:id="0">
    <w:p w:rsidR="00AA4E81" w:rsidRDefault="00AA4E81" w:rsidP="006A01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D11" w:rsidRPr="00B46D11" w:rsidRDefault="00B46D11">
    <w:pPr>
      <w:pStyle w:val="Header"/>
      <w:jc w:val="right"/>
      <w:rPr>
        <w:rFonts w:ascii="Times New Roman" w:hAnsi="Times New Roman" w:cs="Times New Roman"/>
        <w:sz w:val="24"/>
        <w:szCs w:val="24"/>
      </w:rPr>
    </w:pPr>
    <w:r w:rsidRPr="00B46D11">
      <w:rPr>
        <w:rFonts w:ascii="Times New Roman" w:hAnsi="Times New Roman" w:cs="Times New Roman"/>
        <w:sz w:val="24"/>
        <w:szCs w:val="24"/>
      </w:rPr>
      <w:t>HISTORY</w:t>
    </w:r>
    <w:r w:rsidRPr="00B46D11">
      <w:rPr>
        <w:rFonts w:ascii="Times New Roman" w:hAnsi="Times New Roman" w:cs="Times New Roman"/>
        <w:sz w:val="24"/>
        <w:szCs w:val="24"/>
      </w:rPr>
      <w:tab/>
    </w:r>
    <w:r w:rsidRPr="00B46D11">
      <w:rPr>
        <w:rFonts w:ascii="Times New Roman" w:hAnsi="Times New Roman" w:cs="Times New Roman"/>
        <w:sz w:val="24"/>
        <w:szCs w:val="24"/>
      </w:rPr>
      <w:tab/>
    </w:r>
    <w:sdt>
      <w:sdtPr>
        <w:rPr>
          <w:rFonts w:ascii="Times New Roman" w:hAnsi="Times New Roman" w:cs="Times New Roman"/>
          <w:sz w:val="24"/>
          <w:szCs w:val="24"/>
        </w:rPr>
        <w:id w:val="320015930"/>
        <w:docPartObj>
          <w:docPartGallery w:val="Page Numbers (Top of Page)"/>
          <w:docPartUnique/>
        </w:docPartObj>
      </w:sdtPr>
      <w:sdtEndPr>
        <w:rPr>
          <w:noProof/>
        </w:rPr>
      </w:sdtEndPr>
      <w:sdtContent>
        <w:r w:rsidRPr="00B46D11">
          <w:rPr>
            <w:rFonts w:ascii="Times New Roman" w:hAnsi="Times New Roman" w:cs="Times New Roman"/>
            <w:sz w:val="24"/>
            <w:szCs w:val="24"/>
          </w:rPr>
          <w:fldChar w:fldCharType="begin"/>
        </w:r>
        <w:r w:rsidRPr="00B46D11">
          <w:rPr>
            <w:rFonts w:ascii="Times New Roman" w:hAnsi="Times New Roman" w:cs="Times New Roman"/>
            <w:sz w:val="24"/>
            <w:szCs w:val="24"/>
          </w:rPr>
          <w:instrText xml:space="preserve"> PAGE   \* MERGEFORMAT </w:instrText>
        </w:r>
        <w:r w:rsidRPr="00B46D11">
          <w:rPr>
            <w:rFonts w:ascii="Times New Roman" w:hAnsi="Times New Roman" w:cs="Times New Roman"/>
            <w:sz w:val="24"/>
            <w:szCs w:val="24"/>
          </w:rPr>
          <w:fldChar w:fldCharType="separate"/>
        </w:r>
        <w:r>
          <w:rPr>
            <w:rFonts w:ascii="Times New Roman" w:hAnsi="Times New Roman" w:cs="Times New Roman"/>
            <w:noProof/>
            <w:sz w:val="24"/>
            <w:szCs w:val="24"/>
          </w:rPr>
          <w:t>13</w:t>
        </w:r>
        <w:r w:rsidRPr="00B46D11">
          <w:rPr>
            <w:rFonts w:ascii="Times New Roman" w:hAnsi="Times New Roman" w:cs="Times New Roman"/>
            <w:noProof/>
            <w:sz w:val="24"/>
            <w:szCs w:val="24"/>
          </w:rPr>
          <w:fldChar w:fldCharType="end"/>
        </w:r>
      </w:sdtContent>
    </w:sdt>
  </w:p>
  <w:p w:rsidR="006A015B" w:rsidRPr="00B46D11" w:rsidRDefault="006A015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D11" w:rsidRPr="00B46D11" w:rsidRDefault="00B46D11">
    <w:pPr>
      <w:pStyle w:val="Header"/>
      <w:jc w:val="right"/>
      <w:rPr>
        <w:rFonts w:ascii="Times New Roman" w:hAnsi="Times New Roman" w:cs="Times New Roman"/>
        <w:sz w:val="24"/>
        <w:szCs w:val="24"/>
      </w:rPr>
    </w:pPr>
    <w:r w:rsidRPr="00B46D11">
      <w:rPr>
        <w:rFonts w:ascii="Times New Roman" w:hAnsi="Times New Roman" w:cs="Times New Roman"/>
        <w:sz w:val="24"/>
        <w:szCs w:val="24"/>
      </w:rPr>
      <w:t>Running Head: HISTORY</w:t>
    </w:r>
    <w:r w:rsidRPr="00B46D11">
      <w:rPr>
        <w:rFonts w:ascii="Times New Roman" w:hAnsi="Times New Roman" w:cs="Times New Roman"/>
        <w:sz w:val="24"/>
        <w:szCs w:val="24"/>
      </w:rPr>
      <w:tab/>
    </w:r>
    <w:r w:rsidRPr="00B46D11">
      <w:rPr>
        <w:rFonts w:ascii="Times New Roman" w:hAnsi="Times New Roman" w:cs="Times New Roman"/>
        <w:sz w:val="24"/>
        <w:szCs w:val="24"/>
      </w:rPr>
      <w:tab/>
    </w:r>
    <w:sdt>
      <w:sdtPr>
        <w:rPr>
          <w:rFonts w:ascii="Times New Roman" w:hAnsi="Times New Roman" w:cs="Times New Roman"/>
          <w:sz w:val="24"/>
          <w:szCs w:val="24"/>
        </w:rPr>
        <w:id w:val="714779880"/>
        <w:docPartObj>
          <w:docPartGallery w:val="Page Numbers (Top of Page)"/>
          <w:docPartUnique/>
        </w:docPartObj>
      </w:sdtPr>
      <w:sdtEndPr>
        <w:rPr>
          <w:noProof/>
        </w:rPr>
      </w:sdtEndPr>
      <w:sdtContent>
        <w:r w:rsidRPr="00B46D11">
          <w:rPr>
            <w:rFonts w:ascii="Times New Roman" w:hAnsi="Times New Roman" w:cs="Times New Roman"/>
            <w:sz w:val="24"/>
            <w:szCs w:val="24"/>
          </w:rPr>
          <w:fldChar w:fldCharType="begin"/>
        </w:r>
        <w:r w:rsidRPr="00B46D11">
          <w:rPr>
            <w:rFonts w:ascii="Times New Roman" w:hAnsi="Times New Roman" w:cs="Times New Roman"/>
            <w:sz w:val="24"/>
            <w:szCs w:val="24"/>
          </w:rPr>
          <w:instrText xml:space="preserve"> PAGE   \* MERGEFORMAT </w:instrText>
        </w:r>
        <w:r w:rsidRPr="00B46D11">
          <w:rPr>
            <w:rFonts w:ascii="Times New Roman" w:hAnsi="Times New Roman" w:cs="Times New Roman"/>
            <w:sz w:val="24"/>
            <w:szCs w:val="24"/>
          </w:rPr>
          <w:fldChar w:fldCharType="separate"/>
        </w:r>
        <w:r>
          <w:rPr>
            <w:rFonts w:ascii="Times New Roman" w:hAnsi="Times New Roman" w:cs="Times New Roman"/>
            <w:noProof/>
            <w:sz w:val="24"/>
            <w:szCs w:val="24"/>
          </w:rPr>
          <w:t>1</w:t>
        </w:r>
        <w:r w:rsidRPr="00B46D11">
          <w:rPr>
            <w:rFonts w:ascii="Times New Roman" w:hAnsi="Times New Roman" w:cs="Times New Roman"/>
            <w:noProof/>
            <w:sz w:val="24"/>
            <w:szCs w:val="24"/>
          </w:rPr>
          <w:fldChar w:fldCharType="end"/>
        </w:r>
      </w:sdtContent>
    </w:sdt>
  </w:p>
  <w:p w:rsidR="006A015B" w:rsidRPr="00B46D11" w:rsidRDefault="006A015B" w:rsidP="00B46D11">
    <w:pPr>
      <w:pStyle w:val="Header"/>
      <w:tabs>
        <w:tab w:val="clear" w:pos="4680"/>
        <w:tab w:val="clear" w:pos="9360"/>
        <w:tab w:val="left" w:pos="3780"/>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15B"/>
    <w:rsid w:val="00121CAD"/>
    <w:rsid w:val="001303A9"/>
    <w:rsid w:val="00137417"/>
    <w:rsid w:val="006A015B"/>
    <w:rsid w:val="006F653E"/>
    <w:rsid w:val="00856DC6"/>
    <w:rsid w:val="008B64B6"/>
    <w:rsid w:val="009E1004"/>
    <w:rsid w:val="00AA4E81"/>
    <w:rsid w:val="00B46D11"/>
    <w:rsid w:val="00F75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29D4D-BA00-47FE-B6DC-AE85C81FA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A01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A015B"/>
    <w:rPr>
      <w:i/>
      <w:iCs/>
    </w:rPr>
  </w:style>
  <w:style w:type="paragraph" w:styleId="Header">
    <w:name w:val="header"/>
    <w:basedOn w:val="Normal"/>
    <w:link w:val="HeaderChar"/>
    <w:uiPriority w:val="99"/>
    <w:unhideWhenUsed/>
    <w:rsid w:val="006A0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15B"/>
  </w:style>
  <w:style w:type="paragraph" w:styleId="Footer">
    <w:name w:val="footer"/>
    <w:basedOn w:val="Normal"/>
    <w:link w:val="FooterChar"/>
    <w:uiPriority w:val="99"/>
    <w:unhideWhenUsed/>
    <w:rsid w:val="006A0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70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2953</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2018-10-23T23:01:00Z</dcterms:created>
  <dcterms:modified xsi:type="dcterms:W3CDTF">2018-10-23T23:01:00Z</dcterms:modified>
</cp:coreProperties>
</file>